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25A" w:rsidRPr="0012725A" w:rsidRDefault="0052034B" w:rsidP="0012725A">
      <w:pPr>
        <w:jc w:val="center"/>
        <w:rPr>
          <w:rFonts w:ascii="Arial" w:hAnsi="Arial" w:cs="Arial"/>
          <w:b/>
          <w:color w:val="000000"/>
          <w:sz w:val="28"/>
          <w:szCs w:val="28"/>
        </w:rPr>
      </w:pPr>
      <w:r>
        <w:rPr>
          <w:rFonts w:ascii="Arial" w:hAnsi="Arial" w:cs="Arial"/>
          <w:b/>
          <w:color w:val="000000"/>
          <w:sz w:val="28"/>
          <w:szCs w:val="28"/>
        </w:rPr>
        <w:t>Title of submission</w:t>
      </w:r>
    </w:p>
    <w:p w:rsidR="0012725A" w:rsidRDefault="0012725A" w:rsidP="0012725A">
      <w:pPr>
        <w:ind w:left="720"/>
        <w:rPr>
          <w:bCs/>
          <w:color w:val="252127"/>
          <w:shd w:val="clear" w:color="auto" w:fill="FFFFFF"/>
        </w:rPr>
      </w:pPr>
    </w:p>
    <w:p w:rsidR="0012725A" w:rsidRPr="0012725A" w:rsidRDefault="0012725A" w:rsidP="0012725A">
      <w:pPr>
        <w:jc w:val="both"/>
        <w:rPr>
          <w:color w:val="000000"/>
          <w:sz w:val="28"/>
          <w:szCs w:val="28"/>
        </w:rPr>
      </w:pPr>
      <w:proofErr w:type="spellStart"/>
      <w:r>
        <w:rPr>
          <w:color w:val="000000"/>
          <w:sz w:val="28"/>
          <w:szCs w:val="28"/>
          <w:vertAlign w:val="superscript"/>
        </w:rPr>
        <w:t>I</w:t>
      </w:r>
      <w:r w:rsidR="0052034B">
        <w:rPr>
          <w:color w:val="000000"/>
          <w:sz w:val="28"/>
          <w:szCs w:val="28"/>
        </w:rPr>
        <w:t>Title</w:t>
      </w:r>
      <w:proofErr w:type="spellEnd"/>
      <w:r w:rsidR="0052034B">
        <w:rPr>
          <w:color w:val="000000"/>
          <w:sz w:val="28"/>
          <w:szCs w:val="28"/>
        </w:rPr>
        <w:t xml:space="preserve"> and Name</w:t>
      </w:r>
      <w:r w:rsidRPr="0012725A">
        <w:rPr>
          <w:color w:val="000000"/>
          <w:sz w:val="28"/>
          <w:szCs w:val="28"/>
        </w:rPr>
        <w:t xml:space="preserve">, </w:t>
      </w:r>
    </w:p>
    <w:p w:rsidR="0012725A" w:rsidRPr="0012725A" w:rsidRDefault="0012725A" w:rsidP="0012725A">
      <w:pPr>
        <w:rPr>
          <w:color w:val="000000"/>
        </w:rPr>
      </w:pPr>
      <w:proofErr w:type="spellStart"/>
      <w:r w:rsidRPr="0012725A">
        <w:rPr>
          <w:color w:val="000000"/>
          <w:vertAlign w:val="superscript"/>
        </w:rPr>
        <w:t>I</w:t>
      </w:r>
      <w:r w:rsidR="0052034B">
        <w:rPr>
          <w:color w:val="000000"/>
        </w:rPr>
        <w:t>Affiliation</w:t>
      </w:r>
      <w:proofErr w:type="spellEnd"/>
      <w:r w:rsidR="0052034B">
        <w:rPr>
          <w:color w:val="000000"/>
        </w:rPr>
        <w:t xml:space="preserve"> and address</w:t>
      </w:r>
    </w:p>
    <w:p w:rsidR="0012725A" w:rsidRPr="0012725A" w:rsidRDefault="0052034B" w:rsidP="00227E7C">
      <w:pPr>
        <w:pStyle w:val="NormalWeb"/>
        <w:spacing w:line="276" w:lineRule="auto"/>
        <w:rPr>
          <w:color w:val="000000"/>
        </w:rPr>
      </w:pPr>
      <w:r>
        <w:rPr>
          <w:color w:val="000000"/>
        </w:rPr>
        <w:t>Topic abstract with numeric references</w:t>
      </w:r>
    </w:p>
    <w:p w:rsidR="0012725A" w:rsidRPr="0012725A" w:rsidRDefault="0012725A" w:rsidP="0012725A">
      <w:pPr>
        <w:pStyle w:val="NormalWeb"/>
        <w:rPr>
          <w:color w:val="000000"/>
        </w:rPr>
      </w:pPr>
      <w:r w:rsidRPr="0012725A">
        <w:rPr>
          <w:color w:val="000000"/>
        </w:rPr>
        <w:t xml:space="preserve">1. </w:t>
      </w:r>
      <w:r w:rsidR="0052034B">
        <w:rPr>
          <w:color w:val="000000"/>
        </w:rPr>
        <w:t>References</w:t>
      </w:r>
    </w:p>
    <w:p w:rsidR="0012725A" w:rsidRDefault="0012725A">
      <w:pPr>
        <w:rPr>
          <w:rFonts w:ascii="Arial" w:hAnsi="Arial" w:cs="Arial"/>
          <w:b/>
          <w:color w:val="000000"/>
          <w:sz w:val="28"/>
          <w:szCs w:val="28"/>
        </w:rPr>
      </w:pPr>
      <w:r>
        <w:rPr>
          <w:rFonts w:ascii="Arial" w:hAnsi="Arial" w:cs="Arial"/>
          <w:b/>
          <w:color w:val="000000"/>
          <w:sz w:val="28"/>
          <w:szCs w:val="28"/>
        </w:rPr>
        <w:br w:type="page"/>
      </w:r>
    </w:p>
    <w:p w:rsidR="0057539E" w:rsidRDefault="00646906" w:rsidP="009D254F">
      <w:pPr>
        <w:jc w:val="center"/>
        <w:rPr>
          <w:rFonts w:ascii="Arial" w:hAnsi="Arial" w:cs="Arial"/>
          <w:b/>
          <w:color w:val="000000"/>
          <w:sz w:val="28"/>
          <w:szCs w:val="28"/>
        </w:rPr>
      </w:pPr>
      <w:r>
        <w:rPr>
          <w:rFonts w:ascii="Arial" w:hAnsi="Arial" w:cs="Arial"/>
          <w:b/>
          <w:color w:val="000000"/>
          <w:sz w:val="28"/>
          <w:szCs w:val="28"/>
        </w:rPr>
        <w:lastRenderedPageBreak/>
        <w:t>Biomaterials in composites: opportunities and challenges</w:t>
      </w:r>
    </w:p>
    <w:p w:rsidR="0012725A" w:rsidRDefault="0012725A" w:rsidP="009D254F">
      <w:pPr>
        <w:jc w:val="center"/>
        <w:rPr>
          <w:rFonts w:ascii="Arial" w:hAnsi="Arial" w:cs="Arial"/>
          <w:b/>
          <w:color w:val="000000"/>
          <w:sz w:val="28"/>
          <w:szCs w:val="28"/>
        </w:rPr>
      </w:pPr>
    </w:p>
    <w:p w:rsidR="00687CC2" w:rsidRDefault="00687CC2">
      <w:pPr>
        <w:rPr>
          <w:rFonts w:ascii="Arial" w:hAnsi="Arial" w:cs="Arial"/>
          <w:b/>
          <w:color w:val="000000"/>
          <w:sz w:val="28"/>
          <w:szCs w:val="28"/>
        </w:rPr>
      </w:pPr>
    </w:p>
    <w:p w:rsidR="00687CC2" w:rsidRPr="00687CC2" w:rsidRDefault="009D254F">
      <w:pPr>
        <w:rPr>
          <w:color w:val="000000"/>
          <w:sz w:val="28"/>
          <w:szCs w:val="28"/>
        </w:rPr>
      </w:pPr>
      <w:proofErr w:type="spellStart"/>
      <w:proofErr w:type="gramStart"/>
      <w:r>
        <w:rPr>
          <w:color w:val="000000"/>
          <w:sz w:val="28"/>
          <w:szCs w:val="28"/>
          <w:vertAlign w:val="superscript"/>
        </w:rPr>
        <w:t>I</w:t>
      </w:r>
      <w:r w:rsidR="00646906">
        <w:rPr>
          <w:color w:val="000000"/>
          <w:sz w:val="28"/>
          <w:szCs w:val="28"/>
        </w:rPr>
        <w:t>Dr</w:t>
      </w:r>
      <w:proofErr w:type="spellEnd"/>
      <w:r w:rsidR="00453A61">
        <w:rPr>
          <w:color w:val="000000"/>
          <w:sz w:val="28"/>
          <w:szCs w:val="28"/>
        </w:rPr>
        <w:t>.</w:t>
      </w:r>
      <w:proofErr w:type="gramEnd"/>
      <w:r w:rsidR="00646906">
        <w:rPr>
          <w:color w:val="000000"/>
          <w:sz w:val="28"/>
          <w:szCs w:val="28"/>
        </w:rPr>
        <w:t xml:space="preserve"> </w:t>
      </w:r>
      <w:proofErr w:type="spellStart"/>
      <w:r w:rsidR="00646906">
        <w:rPr>
          <w:color w:val="000000"/>
          <w:sz w:val="28"/>
          <w:szCs w:val="28"/>
        </w:rPr>
        <w:t>Callum</w:t>
      </w:r>
      <w:proofErr w:type="spellEnd"/>
      <w:r w:rsidR="00646906">
        <w:rPr>
          <w:color w:val="000000"/>
          <w:sz w:val="28"/>
          <w:szCs w:val="28"/>
        </w:rPr>
        <w:t xml:space="preserve"> </w:t>
      </w:r>
      <w:proofErr w:type="spellStart"/>
      <w:r w:rsidR="00646906">
        <w:rPr>
          <w:color w:val="000000"/>
          <w:sz w:val="28"/>
          <w:szCs w:val="28"/>
        </w:rPr>
        <w:t>Branfoot</w:t>
      </w:r>
      <w:proofErr w:type="spellEnd"/>
    </w:p>
    <w:p w:rsidR="009D254F" w:rsidRPr="00646906" w:rsidRDefault="0012725A" w:rsidP="009D254F">
      <w:pPr>
        <w:rPr>
          <w:color w:val="000000"/>
        </w:rPr>
      </w:pPr>
      <w:proofErr w:type="spellStart"/>
      <w:r w:rsidRPr="0012725A">
        <w:rPr>
          <w:color w:val="000000"/>
          <w:vertAlign w:val="superscript"/>
        </w:rPr>
        <w:t>I</w:t>
      </w:r>
      <w:r w:rsidR="00646906">
        <w:rPr>
          <w:color w:val="000000"/>
        </w:rPr>
        <w:t>National</w:t>
      </w:r>
      <w:proofErr w:type="spellEnd"/>
      <w:r w:rsidR="00646906">
        <w:rPr>
          <w:color w:val="000000"/>
        </w:rPr>
        <w:t xml:space="preserve"> Composites Centre, Bristol and Bath Science Park, Feynman Way Central, </w:t>
      </w:r>
      <w:proofErr w:type="spellStart"/>
      <w:r w:rsidR="00646906">
        <w:rPr>
          <w:color w:val="000000"/>
        </w:rPr>
        <w:t>Emersons</w:t>
      </w:r>
      <w:proofErr w:type="spellEnd"/>
      <w:r w:rsidR="00646906">
        <w:rPr>
          <w:color w:val="000000"/>
        </w:rPr>
        <w:t xml:space="preserve"> Green, Bristol, BS16 7FS</w:t>
      </w:r>
      <w:r>
        <w:rPr>
          <w:color w:val="000000"/>
        </w:rPr>
        <w:t>, UK</w:t>
      </w:r>
    </w:p>
    <w:p w:rsidR="00687CC2" w:rsidRDefault="00687CC2">
      <w:pPr>
        <w:rPr>
          <w:color w:val="000000"/>
        </w:rPr>
      </w:pPr>
    </w:p>
    <w:p w:rsidR="001A3EC3" w:rsidRDefault="00453A61" w:rsidP="00453A61">
      <w:pPr>
        <w:spacing w:line="276" w:lineRule="auto"/>
      </w:pPr>
      <w:r w:rsidRPr="00453A61">
        <w:t xml:space="preserve">This presentation explores how biomaterials could reshape composite applications in sectors such as wind energy and aerospace. It begins by examining the factors that drive material selection in these industries and considers how sustainability benefits align with these priorities. Through case studies on matrix materials, manufacturing consumables, and carbon </w:t>
      </w:r>
      <w:proofErr w:type="spellStart"/>
      <w:r w:rsidRPr="00453A61">
        <w:t>fibres</w:t>
      </w:r>
      <w:proofErr w:type="spellEnd"/>
      <w:r w:rsidRPr="00453A61">
        <w:t xml:space="preserve">, we will identify common trends and highlight emerging opportunities. Let's simplify the complex narratives surrounding </w:t>
      </w:r>
      <w:proofErr w:type="spellStart"/>
      <w:r w:rsidRPr="00453A61">
        <w:t>biocomposites</w:t>
      </w:r>
      <w:proofErr w:type="spellEnd"/>
      <w:r w:rsidRPr="00453A61">
        <w:t xml:space="preserve"> to provide a clearer path toward their adoption!</w:t>
      </w:r>
    </w:p>
    <w:p w:rsidR="001A3EC3" w:rsidRDefault="001A3EC3">
      <w:r>
        <w:br w:type="page"/>
      </w:r>
    </w:p>
    <w:p w:rsidR="00227E7C" w:rsidRDefault="00227E7C" w:rsidP="00227E7C">
      <w:pPr>
        <w:pStyle w:val="NormalWeb"/>
        <w:jc w:val="center"/>
        <w:rPr>
          <w:rFonts w:ascii="Arial" w:hAnsi="Arial" w:cs="Arial"/>
          <w:b/>
          <w:color w:val="000000"/>
          <w:sz w:val="28"/>
          <w:szCs w:val="28"/>
          <w:lang w:val="en-US" w:eastAsia="en-US"/>
        </w:rPr>
      </w:pPr>
      <w:r w:rsidRPr="00227E7C">
        <w:rPr>
          <w:rFonts w:ascii="Arial" w:hAnsi="Arial" w:cs="Arial"/>
          <w:b/>
          <w:color w:val="000000"/>
          <w:sz w:val="28"/>
          <w:szCs w:val="28"/>
          <w:lang w:val="en-US" w:eastAsia="en-US"/>
        </w:rPr>
        <w:lastRenderedPageBreak/>
        <w:t>Decarbonising Aviation: Pathways, Progress, and Innovation in Sustainable Aviation Fuel</w:t>
      </w:r>
      <w:r>
        <w:rPr>
          <w:rFonts w:ascii="Segoe UI" w:hAnsi="Segoe UI" w:cs="Segoe UI"/>
          <w:sz w:val="21"/>
          <w:szCs w:val="21"/>
        </w:rPr>
        <w:t xml:space="preserve"> </w:t>
      </w:r>
      <w:r w:rsidRPr="00227E7C">
        <w:rPr>
          <w:rFonts w:ascii="Arial" w:hAnsi="Arial" w:cs="Arial"/>
          <w:b/>
          <w:color w:val="000000"/>
          <w:sz w:val="28"/>
          <w:szCs w:val="28"/>
          <w:lang w:val="en-US" w:eastAsia="en-US"/>
        </w:rPr>
        <w:t>Technologies</w:t>
      </w:r>
    </w:p>
    <w:p w:rsidR="00227E7C" w:rsidRDefault="00227E7C" w:rsidP="00227E7C">
      <w:pPr>
        <w:pStyle w:val="NormalWeb"/>
        <w:rPr>
          <w:color w:val="000000"/>
        </w:rPr>
      </w:pPr>
      <w:r w:rsidRPr="00227E7C">
        <w:rPr>
          <w:color w:val="000000"/>
          <w:sz w:val="28"/>
          <w:szCs w:val="28"/>
          <w:vertAlign w:val="superscript"/>
        </w:rPr>
        <w:t>I</w:t>
      </w:r>
      <w:r>
        <w:rPr>
          <w:color w:val="000000"/>
          <w:sz w:val="28"/>
          <w:szCs w:val="28"/>
        </w:rPr>
        <w:t xml:space="preserve"> </w:t>
      </w:r>
      <w:proofErr w:type="spellStart"/>
      <w:r>
        <w:rPr>
          <w:color w:val="000000"/>
          <w:sz w:val="28"/>
          <w:szCs w:val="28"/>
        </w:rPr>
        <w:t>Sanjeev</w:t>
      </w:r>
      <w:proofErr w:type="spellEnd"/>
      <w:r>
        <w:rPr>
          <w:color w:val="000000"/>
          <w:sz w:val="28"/>
          <w:szCs w:val="28"/>
        </w:rPr>
        <w:t xml:space="preserve"> </w:t>
      </w:r>
      <w:proofErr w:type="spellStart"/>
      <w:r>
        <w:rPr>
          <w:color w:val="000000"/>
          <w:sz w:val="28"/>
          <w:szCs w:val="28"/>
        </w:rPr>
        <w:t>Gajjela</w:t>
      </w:r>
      <w:proofErr w:type="spellEnd"/>
      <w:r w:rsidRPr="00227E7C">
        <w:rPr>
          <w:color w:val="000000"/>
          <w:sz w:val="28"/>
          <w:szCs w:val="28"/>
        </w:rPr>
        <w:br/>
      </w:r>
      <w:r w:rsidRPr="001A3EC3">
        <w:rPr>
          <w:color w:val="000000"/>
          <w:vertAlign w:val="superscript"/>
        </w:rPr>
        <w:t>I</w:t>
      </w:r>
      <w:r w:rsidRPr="001A3EC3">
        <w:rPr>
          <w:color w:val="000000"/>
        </w:rPr>
        <w:t xml:space="preserve"> </w:t>
      </w:r>
      <w:proofErr w:type="spellStart"/>
      <w:r>
        <w:rPr>
          <w:color w:val="000000"/>
        </w:rPr>
        <w:t>Senapt</w:t>
      </w:r>
      <w:proofErr w:type="spellEnd"/>
      <w:r>
        <w:rPr>
          <w:color w:val="000000"/>
        </w:rPr>
        <w:t xml:space="preserve"> Limited, </w:t>
      </w:r>
      <w:r w:rsidRPr="00227E7C">
        <w:rPr>
          <w:color w:val="000000"/>
        </w:rPr>
        <w:t>Wade Road, Basingstoke, RG24 8PE, UK</w:t>
      </w:r>
    </w:p>
    <w:p w:rsidR="00227E7C" w:rsidRPr="001A3EC3" w:rsidRDefault="00227E7C" w:rsidP="006E2911">
      <w:pPr>
        <w:pStyle w:val="NormalWeb"/>
        <w:spacing w:line="276" w:lineRule="auto"/>
        <w:rPr>
          <w:color w:val="000000"/>
        </w:rPr>
      </w:pPr>
      <w:r w:rsidRPr="00227E7C">
        <w:rPr>
          <w:color w:val="000000"/>
        </w:rPr>
        <w:t xml:space="preserve">Aviation urgently needs scalable, cost-competitive decarbonisation solutions. Sustainable aviation fuel (SAF) has emerged as the primary near-term pathway to reduce in-sector emissions, yet current certified production routes face significant cost and feedstock constraints that limit their ability to meet global demand. This presentation will explore how a diversified portfolio of SAF pathways spanning lipid, alcohol, and advanced </w:t>
      </w:r>
      <w:proofErr w:type="spellStart"/>
      <w:r w:rsidRPr="00227E7C">
        <w:rPr>
          <w:color w:val="000000"/>
        </w:rPr>
        <w:t>thermochemical</w:t>
      </w:r>
      <w:proofErr w:type="spellEnd"/>
      <w:r w:rsidRPr="00227E7C">
        <w:rPr>
          <w:color w:val="000000"/>
        </w:rPr>
        <w:t xml:space="preserve"> approaches can collectively deliver the scale and economics needed for industry transformation. Drawing on industry experience, the talk will examine key drivers of SAF competitiveness, barriers to deployment, and enablers for accelerating commercial scale-up. The session will conclude with perspectives on how policy, technology innovation, and cross-sector collaboration can position SAF as a cornerstone of aviation’s decarbonisation strategy.</w:t>
      </w:r>
    </w:p>
    <w:p w:rsidR="00227E7C" w:rsidRDefault="00227E7C">
      <w:pPr>
        <w:rPr>
          <w:rFonts w:ascii="Arial" w:hAnsi="Arial" w:cs="Arial"/>
          <w:b/>
          <w:color w:val="000000"/>
          <w:sz w:val="28"/>
          <w:szCs w:val="28"/>
        </w:rPr>
      </w:pPr>
      <w:r>
        <w:rPr>
          <w:rFonts w:ascii="Arial" w:hAnsi="Arial" w:cs="Arial"/>
          <w:b/>
          <w:color w:val="000000"/>
          <w:sz w:val="28"/>
          <w:szCs w:val="28"/>
        </w:rPr>
        <w:br w:type="page"/>
      </w:r>
    </w:p>
    <w:p w:rsidR="001A3EC3" w:rsidRPr="001A3EC3" w:rsidRDefault="001A3EC3" w:rsidP="001A3EC3">
      <w:pPr>
        <w:jc w:val="center"/>
        <w:rPr>
          <w:rFonts w:ascii="Arial" w:hAnsi="Arial" w:cs="Arial"/>
          <w:b/>
          <w:color w:val="000000"/>
          <w:sz w:val="28"/>
          <w:szCs w:val="28"/>
        </w:rPr>
      </w:pPr>
      <w:proofErr w:type="spellStart"/>
      <w:r w:rsidRPr="001A3EC3">
        <w:rPr>
          <w:rFonts w:ascii="Arial" w:hAnsi="Arial" w:cs="Arial"/>
          <w:b/>
          <w:color w:val="000000"/>
          <w:sz w:val="28"/>
          <w:szCs w:val="28"/>
        </w:rPr>
        <w:lastRenderedPageBreak/>
        <w:t>Sulfonated</w:t>
      </w:r>
      <w:proofErr w:type="spellEnd"/>
      <w:r w:rsidRPr="001A3EC3">
        <w:rPr>
          <w:rFonts w:ascii="Arial" w:hAnsi="Arial" w:cs="Arial"/>
          <w:b/>
          <w:color w:val="000000"/>
          <w:sz w:val="28"/>
          <w:szCs w:val="28"/>
        </w:rPr>
        <w:t xml:space="preserve"> Alkyl </w:t>
      </w:r>
      <w:proofErr w:type="spellStart"/>
      <w:r w:rsidRPr="001A3EC3">
        <w:rPr>
          <w:rFonts w:ascii="Arial" w:hAnsi="Arial" w:cs="Arial"/>
          <w:b/>
          <w:color w:val="000000"/>
          <w:sz w:val="28"/>
          <w:szCs w:val="28"/>
        </w:rPr>
        <w:t>Furoates</w:t>
      </w:r>
      <w:proofErr w:type="spellEnd"/>
      <w:r w:rsidRPr="001A3EC3">
        <w:rPr>
          <w:rFonts w:ascii="Arial" w:hAnsi="Arial" w:cs="Arial"/>
          <w:b/>
          <w:color w:val="000000"/>
          <w:sz w:val="28"/>
          <w:szCs w:val="28"/>
        </w:rPr>
        <w:t xml:space="preserve"> (SAF): Valorising Waste Biomass into High-Performance, Low-Impact Surfactants</w:t>
      </w:r>
    </w:p>
    <w:p w:rsidR="001A3EC3" w:rsidRPr="001A3EC3" w:rsidRDefault="001A3EC3" w:rsidP="001A3EC3">
      <w:pPr>
        <w:pStyle w:val="NormalWeb"/>
        <w:rPr>
          <w:color w:val="000000"/>
        </w:rPr>
      </w:pPr>
      <w:r w:rsidRPr="00227E7C">
        <w:rPr>
          <w:color w:val="000000"/>
          <w:sz w:val="28"/>
          <w:szCs w:val="28"/>
          <w:vertAlign w:val="superscript"/>
        </w:rPr>
        <w:t>I</w:t>
      </w:r>
      <w:r w:rsidRPr="00227E7C">
        <w:rPr>
          <w:color w:val="000000"/>
          <w:sz w:val="28"/>
          <w:szCs w:val="28"/>
        </w:rPr>
        <w:t xml:space="preserve">*Bo </w:t>
      </w:r>
      <w:proofErr w:type="spellStart"/>
      <w:r w:rsidRPr="00227E7C">
        <w:rPr>
          <w:color w:val="000000"/>
          <w:sz w:val="28"/>
          <w:szCs w:val="28"/>
        </w:rPr>
        <w:t>Gu</w:t>
      </w:r>
      <w:proofErr w:type="spellEnd"/>
      <w:r w:rsidRPr="00227E7C">
        <w:rPr>
          <w:color w:val="000000"/>
          <w:sz w:val="28"/>
          <w:szCs w:val="28"/>
        </w:rPr>
        <w:t xml:space="preserve">, </w:t>
      </w:r>
      <w:proofErr w:type="spellStart"/>
      <w:r w:rsidRPr="00227E7C">
        <w:rPr>
          <w:color w:val="000000"/>
          <w:sz w:val="28"/>
          <w:szCs w:val="28"/>
          <w:vertAlign w:val="superscript"/>
        </w:rPr>
        <w:t>I,II</w:t>
      </w:r>
      <w:r w:rsidRPr="00227E7C">
        <w:rPr>
          <w:color w:val="000000"/>
          <w:sz w:val="28"/>
          <w:szCs w:val="28"/>
        </w:rPr>
        <w:t>Amir</w:t>
      </w:r>
      <w:proofErr w:type="spellEnd"/>
      <w:r w:rsidRPr="00227E7C">
        <w:rPr>
          <w:color w:val="000000"/>
          <w:sz w:val="28"/>
          <w:szCs w:val="28"/>
        </w:rPr>
        <w:t xml:space="preserve"> Al </w:t>
      </w:r>
      <w:proofErr w:type="spellStart"/>
      <w:r w:rsidRPr="00227E7C">
        <w:rPr>
          <w:color w:val="000000"/>
          <w:sz w:val="28"/>
          <w:szCs w:val="28"/>
        </w:rPr>
        <w:t>Ghatta</w:t>
      </w:r>
      <w:proofErr w:type="spellEnd"/>
      <w:r w:rsidRPr="00227E7C">
        <w:rPr>
          <w:color w:val="000000"/>
          <w:sz w:val="28"/>
          <w:szCs w:val="28"/>
        </w:rPr>
        <w:t xml:space="preserve">, </w:t>
      </w:r>
      <w:proofErr w:type="spellStart"/>
      <w:r w:rsidRPr="00227E7C">
        <w:rPr>
          <w:color w:val="000000"/>
          <w:sz w:val="28"/>
          <w:szCs w:val="28"/>
          <w:vertAlign w:val="superscript"/>
        </w:rPr>
        <w:t>I</w:t>
      </w:r>
      <w:r w:rsidRPr="00227E7C">
        <w:rPr>
          <w:color w:val="000000"/>
          <w:sz w:val="28"/>
          <w:szCs w:val="28"/>
        </w:rPr>
        <w:t>Jason</w:t>
      </w:r>
      <w:proofErr w:type="spellEnd"/>
      <w:r w:rsidRPr="00227E7C">
        <w:rPr>
          <w:color w:val="000000"/>
          <w:sz w:val="28"/>
          <w:szCs w:val="28"/>
        </w:rPr>
        <w:t xml:space="preserve"> </w:t>
      </w:r>
      <w:proofErr w:type="spellStart"/>
      <w:r w:rsidRPr="00227E7C">
        <w:rPr>
          <w:color w:val="000000"/>
          <w:sz w:val="28"/>
          <w:szCs w:val="28"/>
        </w:rPr>
        <w:t>Hallett</w:t>
      </w:r>
      <w:proofErr w:type="spellEnd"/>
      <w:r w:rsidRPr="001A3EC3">
        <w:rPr>
          <w:color w:val="000000"/>
        </w:rPr>
        <w:br/>
      </w:r>
      <w:r w:rsidRPr="001A3EC3">
        <w:rPr>
          <w:color w:val="000000"/>
          <w:vertAlign w:val="superscript"/>
        </w:rPr>
        <w:t>I</w:t>
      </w:r>
      <w:r w:rsidRPr="001A3EC3">
        <w:rPr>
          <w:color w:val="000000"/>
        </w:rPr>
        <w:t xml:space="preserve"> bg419@ic.ac.uk, Imperial College London, Exhibition Road, London, SW7 2AZ</w:t>
      </w:r>
      <w:r>
        <w:rPr>
          <w:color w:val="000000"/>
        </w:rPr>
        <w:t>, UK</w:t>
      </w:r>
      <w:r w:rsidRPr="001A3EC3">
        <w:rPr>
          <w:color w:val="000000"/>
        </w:rPr>
        <w:br/>
      </w:r>
      <w:r w:rsidRPr="001A3EC3">
        <w:rPr>
          <w:color w:val="000000"/>
          <w:vertAlign w:val="superscript"/>
        </w:rPr>
        <w:t>II</w:t>
      </w:r>
      <w:r w:rsidRPr="001A3EC3">
        <w:rPr>
          <w:color w:val="000000"/>
        </w:rPr>
        <w:t xml:space="preserve"> </w:t>
      </w:r>
      <w:proofErr w:type="spellStart"/>
      <w:r w:rsidRPr="001A3EC3">
        <w:rPr>
          <w:color w:val="000000"/>
        </w:rPr>
        <w:t>Bioataraxis</w:t>
      </w:r>
      <w:proofErr w:type="spellEnd"/>
      <w:r w:rsidRPr="001A3EC3">
        <w:rPr>
          <w:color w:val="000000"/>
        </w:rPr>
        <w:t xml:space="preserve"> Ltd, 125 Wood Street, London, United Kingdom, EC2V 7AW</w:t>
      </w:r>
      <w:r>
        <w:rPr>
          <w:color w:val="000000"/>
        </w:rPr>
        <w:t>, UK</w:t>
      </w:r>
    </w:p>
    <w:p w:rsidR="001A3EC3" w:rsidRPr="001A3EC3" w:rsidRDefault="001A3EC3" w:rsidP="00227E7C">
      <w:pPr>
        <w:pStyle w:val="NormalWeb"/>
        <w:spacing w:line="276" w:lineRule="auto"/>
        <w:rPr>
          <w:color w:val="000000"/>
        </w:rPr>
      </w:pPr>
      <w:r w:rsidRPr="001A3EC3">
        <w:rPr>
          <w:color w:val="000000"/>
        </w:rPr>
        <w:t>Surfactants are essential to modern life, yet most are fossil-derived and raise end-of-life concerns. We present a new class of furan-based surfactants—</w:t>
      </w:r>
      <w:proofErr w:type="spellStart"/>
      <w:r w:rsidRPr="001A3EC3">
        <w:rPr>
          <w:color w:val="000000"/>
        </w:rPr>
        <w:t>sulfonated</w:t>
      </w:r>
      <w:proofErr w:type="spellEnd"/>
      <w:r w:rsidRPr="001A3EC3">
        <w:rPr>
          <w:color w:val="000000"/>
        </w:rPr>
        <w:t xml:space="preserve"> alkyl </w:t>
      </w:r>
      <w:proofErr w:type="spellStart"/>
      <w:r w:rsidRPr="001A3EC3">
        <w:rPr>
          <w:color w:val="000000"/>
        </w:rPr>
        <w:t>furoates</w:t>
      </w:r>
      <w:proofErr w:type="spellEnd"/>
      <w:r w:rsidRPr="001A3EC3">
        <w:rPr>
          <w:color w:val="000000"/>
        </w:rPr>
        <w:t xml:space="preserve"> (SAF)—made from underutilised biomass via </w:t>
      </w:r>
      <w:proofErr w:type="spellStart"/>
      <w:r w:rsidRPr="001A3EC3">
        <w:rPr>
          <w:color w:val="000000"/>
        </w:rPr>
        <w:t>esterification</w:t>
      </w:r>
      <w:proofErr w:type="spellEnd"/>
      <w:r w:rsidRPr="001A3EC3">
        <w:rPr>
          <w:color w:val="000000"/>
        </w:rPr>
        <w:t xml:space="preserve"> of </w:t>
      </w:r>
      <w:proofErr w:type="spellStart"/>
      <w:r w:rsidRPr="001A3EC3">
        <w:rPr>
          <w:color w:val="000000"/>
        </w:rPr>
        <w:t>furoic</w:t>
      </w:r>
      <w:proofErr w:type="spellEnd"/>
      <w:r w:rsidRPr="001A3EC3">
        <w:rPr>
          <w:color w:val="000000"/>
        </w:rPr>
        <w:t xml:space="preserve"> acid with fatty alcohols followed by sulfonation.1 </w:t>
      </w:r>
      <w:proofErr w:type="gramStart"/>
      <w:r w:rsidRPr="001A3EC3">
        <w:rPr>
          <w:color w:val="000000"/>
        </w:rPr>
        <w:t>We</w:t>
      </w:r>
      <w:proofErr w:type="gramEnd"/>
      <w:r w:rsidRPr="001A3EC3">
        <w:rPr>
          <w:color w:val="000000"/>
        </w:rPr>
        <w:t xml:space="preserve"> develop and characterise SAF at lab scale and benchmark it against leading petroleum-based </w:t>
      </w:r>
      <w:proofErr w:type="spellStart"/>
      <w:r w:rsidRPr="001A3EC3">
        <w:rPr>
          <w:color w:val="000000"/>
        </w:rPr>
        <w:t>anionics</w:t>
      </w:r>
      <w:proofErr w:type="spellEnd"/>
      <w:r w:rsidRPr="001A3EC3">
        <w:rPr>
          <w:color w:val="000000"/>
        </w:rPr>
        <w:t xml:space="preserve">. SAF shows competitive to superior baseline properties, including lower or comparable CMC, strong hard-water tolerance, favourable water/oil interfacial tension, and improved </w:t>
      </w:r>
      <w:proofErr w:type="spellStart"/>
      <w:r w:rsidRPr="001A3EC3">
        <w:rPr>
          <w:color w:val="000000"/>
        </w:rPr>
        <w:t>ecotoxicity</w:t>
      </w:r>
      <w:proofErr w:type="spellEnd"/>
      <w:r w:rsidRPr="001A3EC3">
        <w:rPr>
          <w:color w:val="000000"/>
        </w:rPr>
        <w:t xml:space="preserve">/biodegradability profile. Beyond single-surfactant metrics, we address a key industry gap: the poorly understood synergy that governs cleaning performance. Using systematic formulations that combine SAF with commercial co-surfactants across representative stains, we want to reveal how SAF’s furan motif modulates interfacial adsorption, </w:t>
      </w:r>
      <w:proofErr w:type="spellStart"/>
      <w:r w:rsidRPr="001A3EC3">
        <w:rPr>
          <w:color w:val="000000"/>
        </w:rPr>
        <w:t>micellisation</w:t>
      </w:r>
      <w:proofErr w:type="spellEnd"/>
      <w:r w:rsidRPr="001A3EC3">
        <w:rPr>
          <w:color w:val="000000"/>
        </w:rPr>
        <w:t>, and soil detachment pathways. These insights enable rational design rules for milder, more sustainable home- and personal-care formulations without compromising performance.</w:t>
      </w:r>
    </w:p>
    <w:p w:rsidR="001A3EC3" w:rsidRPr="001A3EC3" w:rsidRDefault="001A3EC3" w:rsidP="00227E7C">
      <w:pPr>
        <w:pStyle w:val="NormalWeb"/>
        <w:spacing w:line="276" w:lineRule="auto"/>
        <w:rPr>
          <w:color w:val="000000"/>
        </w:rPr>
      </w:pPr>
      <w:r w:rsidRPr="001A3EC3">
        <w:rPr>
          <w:color w:val="000000"/>
        </w:rPr>
        <w:t xml:space="preserve">Positioned within a USD 48.5 </w:t>
      </w:r>
      <w:proofErr w:type="spellStart"/>
      <w:r w:rsidRPr="001A3EC3">
        <w:rPr>
          <w:color w:val="000000"/>
        </w:rPr>
        <w:t>bn</w:t>
      </w:r>
      <w:proofErr w:type="spellEnd"/>
      <w:r w:rsidRPr="001A3EC3">
        <w:rPr>
          <w:color w:val="000000"/>
        </w:rPr>
        <w:t xml:space="preserve">, fast-growing market, SAF offers a credible route to reduce fossil reliance by coupling </w:t>
      </w:r>
      <w:proofErr w:type="spellStart"/>
      <w:r w:rsidRPr="001A3EC3">
        <w:rPr>
          <w:color w:val="000000"/>
        </w:rPr>
        <w:t>biobased</w:t>
      </w:r>
      <w:proofErr w:type="spellEnd"/>
      <w:r w:rsidRPr="001A3EC3">
        <w:rPr>
          <w:color w:val="000000"/>
        </w:rPr>
        <w:t xml:space="preserve"> </w:t>
      </w:r>
      <w:proofErr w:type="spellStart"/>
      <w:r w:rsidRPr="001A3EC3">
        <w:rPr>
          <w:color w:val="000000"/>
        </w:rPr>
        <w:t>feedstocks</w:t>
      </w:r>
      <w:proofErr w:type="spellEnd"/>
      <w:r w:rsidRPr="001A3EC3">
        <w:rPr>
          <w:color w:val="000000"/>
        </w:rPr>
        <w:t xml:space="preserve">, scalable two-step synthesis, and biodegradability with proven formulation efficacy. Our results highlight SAF as a commercially promising, greener alternative to conventional </w:t>
      </w:r>
      <w:proofErr w:type="spellStart"/>
      <w:r w:rsidRPr="001A3EC3">
        <w:rPr>
          <w:color w:val="000000"/>
        </w:rPr>
        <w:t>sulfonated</w:t>
      </w:r>
      <w:proofErr w:type="spellEnd"/>
      <w:r w:rsidRPr="001A3EC3">
        <w:rPr>
          <w:color w:val="000000"/>
        </w:rPr>
        <w:t xml:space="preserve"> surfactants and provide a transferable framework for leveraging underutilised biomass to create next-generation cleaning ingredients grounded in mechanistic understanding.</w:t>
      </w:r>
    </w:p>
    <w:p w:rsidR="001A3EC3" w:rsidRPr="001A3EC3" w:rsidRDefault="001A3EC3" w:rsidP="00227E7C">
      <w:pPr>
        <w:pStyle w:val="NormalWeb"/>
        <w:spacing w:line="276" w:lineRule="auto"/>
        <w:rPr>
          <w:color w:val="000000"/>
        </w:rPr>
      </w:pPr>
      <w:proofErr w:type="gramStart"/>
      <w:r w:rsidRPr="001A3EC3">
        <w:rPr>
          <w:color w:val="000000"/>
        </w:rPr>
        <w:t xml:space="preserve">1 Al </w:t>
      </w:r>
      <w:proofErr w:type="spellStart"/>
      <w:r w:rsidRPr="001A3EC3">
        <w:rPr>
          <w:color w:val="000000"/>
        </w:rPr>
        <w:t>Ghatta</w:t>
      </w:r>
      <w:proofErr w:type="spellEnd"/>
      <w:r w:rsidRPr="001A3EC3">
        <w:rPr>
          <w:color w:val="000000"/>
        </w:rPr>
        <w:t xml:space="preserve">, A., </w:t>
      </w:r>
      <w:proofErr w:type="spellStart"/>
      <w:r w:rsidRPr="001A3EC3">
        <w:rPr>
          <w:color w:val="000000"/>
        </w:rPr>
        <w:t>Aravenas</w:t>
      </w:r>
      <w:proofErr w:type="spellEnd"/>
      <w:r w:rsidRPr="001A3EC3">
        <w:rPr>
          <w:color w:val="000000"/>
        </w:rPr>
        <w:t xml:space="preserve">, R.C., Wu, Y., Perry, J.M., </w:t>
      </w:r>
      <w:proofErr w:type="spellStart"/>
      <w:r w:rsidRPr="001A3EC3">
        <w:rPr>
          <w:color w:val="000000"/>
        </w:rPr>
        <w:t>Lemus</w:t>
      </w:r>
      <w:proofErr w:type="spellEnd"/>
      <w:r w:rsidRPr="001A3EC3">
        <w:rPr>
          <w:color w:val="000000"/>
        </w:rPr>
        <w:t xml:space="preserve">, J. and </w:t>
      </w:r>
      <w:proofErr w:type="spellStart"/>
      <w:r w:rsidRPr="001A3EC3">
        <w:rPr>
          <w:color w:val="000000"/>
        </w:rPr>
        <w:t>Hallett</w:t>
      </w:r>
      <w:proofErr w:type="spellEnd"/>
      <w:r w:rsidRPr="001A3EC3">
        <w:rPr>
          <w:color w:val="000000"/>
        </w:rPr>
        <w:t>, J.P. (2022).</w:t>
      </w:r>
      <w:proofErr w:type="gramEnd"/>
      <w:r w:rsidRPr="001A3EC3">
        <w:rPr>
          <w:color w:val="000000"/>
        </w:rPr>
        <w:t xml:space="preserve"> </w:t>
      </w:r>
      <w:proofErr w:type="gramStart"/>
      <w:r w:rsidRPr="001A3EC3">
        <w:rPr>
          <w:color w:val="000000"/>
        </w:rPr>
        <w:t>ACS Sustainable Chemistry &amp; Engineering, 10(27), pp.8846–8855.</w:t>
      </w:r>
      <w:proofErr w:type="gramEnd"/>
      <w:r w:rsidRPr="001A3EC3">
        <w:rPr>
          <w:color w:val="000000"/>
        </w:rPr>
        <w:t xml:space="preserve"> </w:t>
      </w:r>
      <w:proofErr w:type="spellStart"/>
      <w:r w:rsidRPr="001A3EC3">
        <w:rPr>
          <w:color w:val="000000"/>
        </w:rPr>
        <w:t>doi:https</w:t>
      </w:r>
      <w:proofErr w:type="spellEnd"/>
      <w:r w:rsidRPr="001A3EC3">
        <w:rPr>
          <w:color w:val="000000"/>
        </w:rPr>
        <w:t>://doi.org/10.1021/acssuschemeng.2c01766.</w:t>
      </w:r>
    </w:p>
    <w:p w:rsidR="00453A61" w:rsidRDefault="00453A61"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Default="00D7734D" w:rsidP="00453A61">
      <w:pPr>
        <w:spacing w:line="276" w:lineRule="auto"/>
      </w:pPr>
    </w:p>
    <w:p w:rsidR="00D7734D" w:rsidRPr="00453A61" w:rsidRDefault="00D7734D" w:rsidP="00453A61">
      <w:pPr>
        <w:spacing w:line="276" w:lineRule="auto"/>
      </w:pPr>
    </w:p>
    <w:p w:rsidR="008440DF" w:rsidRDefault="008440DF" w:rsidP="0054438F">
      <w:pPr>
        <w:jc w:val="both"/>
        <w:rPr>
          <w:color w:val="000000"/>
        </w:rPr>
      </w:pPr>
    </w:p>
    <w:p w:rsidR="00D7734D" w:rsidRPr="001A3EC3" w:rsidRDefault="00D7734D" w:rsidP="00D7734D">
      <w:pPr>
        <w:jc w:val="center"/>
        <w:rPr>
          <w:rFonts w:ascii="Arial" w:hAnsi="Arial" w:cs="Arial"/>
          <w:b/>
          <w:color w:val="000000"/>
          <w:sz w:val="28"/>
          <w:szCs w:val="28"/>
        </w:rPr>
      </w:pPr>
      <w:r>
        <w:rPr>
          <w:rFonts w:ascii="Arial" w:hAnsi="Arial" w:cs="Arial"/>
          <w:b/>
          <w:color w:val="000000"/>
          <w:sz w:val="28"/>
          <w:szCs w:val="28"/>
        </w:rPr>
        <w:lastRenderedPageBreak/>
        <w:t>From waste to wealth: engineering biology for sustainable chemicals</w:t>
      </w:r>
    </w:p>
    <w:p w:rsidR="00D7734D" w:rsidRDefault="00D7734D" w:rsidP="00D7734D">
      <w:pPr>
        <w:pStyle w:val="NormalWeb"/>
        <w:rPr>
          <w:color w:val="000000"/>
        </w:rPr>
      </w:pPr>
      <w:r w:rsidRPr="00227E7C">
        <w:rPr>
          <w:color w:val="000000"/>
          <w:sz w:val="28"/>
          <w:szCs w:val="28"/>
          <w:vertAlign w:val="superscript"/>
        </w:rPr>
        <w:t>I</w:t>
      </w:r>
      <w:r>
        <w:rPr>
          <w:color w:val="000000"/>
          <w:sz w:val="28"/>
          <w:szCs w:val="28"/>
        </w:rPr>
        <w:t xml:space="preserve"> Prof. Stephen Wallace, </w:t>
      </w:r>
      <w:r w:rsidRPr="001A3EC3">
        <w:rPr>
          <w:color w:val="000000"/>
        </w:rPr>
        <w:br/>
      </w:r>
      <w:r w:rsidRPr="001A3EC3">
        <w:rPr>
          <w:color w:val="000000"/>
          <w:vertAlign w:val="superscript"/>
        </w:rPr>
        <w:t>I</w:t>
      </w:r>
      <w:r w:rsidRPr="001A3EC3">
        <w:rPr>
          <w:color w:val="000000"/>
        </w:rPr>
        <w:t xml:space="preserve"> </w:t>
      </w:r>
      <w:r>
        <w:rPr>
          <w:color w:val="000000"/>
        </w:rPr>
        <w:t>University of Edinburgh, Roger Land Building, King’s Buildings, Edinburgh, EH9 3FF, UK</w:t>
      </w:r>
    </w:p>
    <w:p w:rsidR="00D7734D" w:rsidRPr="00D7734D" w:rsidRDefault="00D7734D" w:rsidP="00D7734D">
      <w:pPr>
        <w:pStyle w:val="xmsonormal"/>
        <w:shd w:val="clear" w:color="auto" w:fill="FFFFFF"/>
        <w:spacing w:before="0" w:beforeAutospacing="0" w:after="0" w:afterAutospacing="0"/>
        <w:rPr>
          <w:rFonts w:ascii="Calibri" w:hAnsi="Calibri" w:cs="Calibri"/>
          <w:color w:val="000000"/>
        </w:rPr>
      </w:pPr>
      <w:r w:rsidRPr="00D7734D">
        <w:rPr>
          <w:color w:val="000000"/>
          <w:bdr w:val="none" w:sz="0" w:space="0" w:color="auto" w:frame="1"/>
        </w:rPr>
        <w:t>Hydrogenation is one of the most widely applied reactions in the chemical industry, with an estimated 25% of clinical drug candidates requiring at least one hydrogenation step in their synthetic sequence. However, industrial H</w:t>
      </w:r>
      <w:r w:rsidRPr="00D7734D">
        <w:rPr>
          <w:color w:val="000000"/>
          <w:bdr w:val="none" w:sz="0" w:space="0" w:color="auto" w:frame="1"/>
          <w:vertAlign w:val="subscript"/>
        </w:rPr>
        <w:t>2</w:t>
      </w:r>
      <w:r w:rsidRPr="00D7734D">
        <w:rPr>
          <w:color w:val="000000"/>
          <w:bdr w:val="none" w:sz="0" w:space="0" w:color="auto" w:frame="1"/>
        </w:rPr>
        <w:t> supply remains overwhelmingly dependent on fossil fuel-derived steam reforming. In contrast, H</w:t>
      </w:r>
      <w:r w:rsidRPr="00D7734D">
        <w:rPr>
          <w:color w:val="000000"/>
          <w:bdr w:val="none" w:sz="0" w:space="0" w:color="auto" w:frame="1"/>
          <w:vertAlign w:val="subscript"/>
        </w:rPr>
        <w:t>2</w:t>
      </w:r>
      <w:r w:rsidRPr="00D7734D">
        <w:rPr>
          <w:color w:val="000000"/>
          <w:bdr w:val="none" w:sz="0" w:space="0" w:color="auto" w:frame="1"/>
        </w:rPr>
        <w:t> is also a naturally occurring microbial metabolite, offering an unexploited opportunity to generate reducing power sustainably through metabolic engineering.</w:t>
      </w:r>
    </w:p>
    <w:p w:rsidR="00D7734D" w:rsidRPr="00D7734D" w:rsidRDefault="00D7734D" w:rsidP="00D7734D">
      <w:pPr>
        <w:pStyle w:val="xmsonormal"/>
        <w:shd w:val="clear" w:color="auto" w:fill="FFFFFF"/>
        <w:spacing w:before="0" w:beforeAutospacing="0" w:after="0" w:afterAutospacing="0"/>
        <w:rPr>
          <w:rFonts w:ascii="Calibri" w:hAnsi="Calibri" w:cs="Calibri"/>
          <w:color w:val="000000"/>
        </w:rPr>
      </w:pPr>
      <w:r w:rsidRPr="00D7734D">
        <w:rPr>
          <w:color w:val="000000"/>
          <w:bdr w:val="none" w:sz="0" w:space="0" w:color="auto" w:frame="1"/>
        </w:rPr>
        <w:t> </w:t>
      </w:r>
    </w:p>
    <w:p w:rsidR="00D7734D" w:rsidRPr="00D7734D" w:rsidRDefault="00D7734D" w:rsidP="00D7734D">
      <w:pPr>
        <w:pStyle w:val="xmsonormal"/>
        <w:shd w:val="clear" w:color="auto" w:fill="FFFFFF"/>
        <w:spacing w:before="0" w:beforeAutospacing="0" w:after="0" w:afterAutospacing="0"/>
        <w:rPr>
          <w:rFonts w:ascii="Calibri" w:hAnsi="Calibri" w:cs="Calibri"/>
          <w:color w:val="000000"/>
        </w:rPr>
      </w:pPr>
      <w:r w:rsidRPr="00D7734D">
        <w:rPr>
          <w:color w:val="000000"/>
          <w:bdr w:val="none" w:sz="0" w:space="0" w:color="auto" w:frame="1"/>
        </w:rPr>
        <w:t xml:space="preserve">In this talk, I will present our recent advances in harnessing </w:t>
      </w:r>
      <w:proofErr w:type="spellStart"/>
      <w:r w:rsidRPr="00D7734D">
        <w:rPr>
          <w:color w:val="000000"/>
          <w:bdr w:val="none" w:sz="0" w:space="0" w:color="auto" w:frame="1"/>
        </w:rPr>
        <w:t>microbially</w:t>
      </w:r>
      <w:proofErr w:type="spellEnd"/>
      <w:r w:rsidRPr="00D7734D">
        <w:rPr>
          <w:color w:val="000000"/>
          <w:bdr w:val="none" w:sz="0" w:space="0" w:color="auto" w:frame="1"/>
        </w:rPr>
        <w:t xml:space="preserve"> produced hydrogen gas from renewable and waste-derived </w:t>
      </w:r>
      <w:proofErr w:type="spellStart"/>
      <w:r w:rsidRPr="00D7734D">
        <w:rPr>
          <w:color w:val="000000"/>
          <w:bdr w:val="none" w:sz="0" w:space="0" w:color="auto" w:frame="1"/>
        </w:rPr>
        <w:t>feedstocks</w:t>
      </w:r>
      <w:proofErr w:type="spellEnd"/>
      <w:r w:rsidRPr="00D7734D">
        <w:rPr>
          <w:color w:val="000000"/>
          <w:bdr w:val="none" w:sz="0" w:space="0" w:color="auto" w:frame="1"/>
        </w:rPr>
        <w:t xml:space="preserve"> for catalytic hydrogenation. By coupling biogenic H</w:t>
      </w:r>
      <w:r w:rsidRPr="00D7734D">
        <w:rPr>
          <w:color w:val="000000"/>
          <w:bdr w:val="none" w:sz="0" w:space="0" w:color="auto" w:frame="1"/>
          <w:vertAlign w:val="subscript"/>
        </w:rPr>
        <w:t>2</w:t>
      </w:r>
      <w:r w:rsidRPr="00D7734D">
        <w:rPr>
          <w:color w:val="000000"/>
          <w:bdr w:val="none" w:sz="0" w:space="0" w:color="auto" w:frame="1"/>
        </w:rPr>
        <w:t xml:space="preserve"> generation in engineered bacteria with in vivo, membrane-bound Pd catalysis, we establish a fully biocompatible chemo-microbial platform capable of performing hydrogenation reactions directly within living cells. When using waste derived </w:t>
      </w:r>
      <w:proofErr w:type="spellStart"/>
      <w:r w:rsidRPr="00D7734D">
        <w:rPr>
          <w:color w:val="000000"/>
          <w:bdr w:val="none" w:sz="0" w:space="0" w:color="auto" w:frame="1"/>
        </w:rPr>
        <w:t>feedstocks</w:t>
      </w:r>
      <w:proofErr w:type="spellEnd"/>
      <w:r w:rsidRPr="00D7734D">
        <w:rPr>
          <w:color w:val="000000"/>
          <w:bdr w:val="none" w:sz="0" w:space="0" w:color="auto" w:frame="1"/>
        </w:rPr>
        <w:t>, LCA shows that these biogenic processes become carbon-negative, converting low-value or waste carbon into valuable chemical transformations while reducing overall emissions.</w:t>
      </w:r>
    </w:p>
    <w:p w:rsidR="00D7734D" w:rsidRPr="00D7734D" w:rsidRDefault="00D7734D" w:rsidP="00D7734D">
      <w:pPr>
        <w:pStyle w:val="xmsonormal"/>
        <w:shd w:val="clear" w:color="auto" w:fill="FFFFFF"/>
        <w:spacing w:before="0" w:beforeAutospacing="0" w:after="0" w:afterAutospacing="0"/>
        <w:rPr>
          <w:rFonts w:ascii="Calibri" w:hAnsi="Calibri" w:cs="Calibri"/>
          <w:color w:val="000000"/>
        </w:rPr>
      </w:pPr>
      <w:r w:rsidRPr="00D7734D">
        <w:rPr>
          <w:color w:val="000000"/>
          <w:bdr w:val="none" w:sz="0" w:space="0" w:color="auto" w:frame="1"/>
        </w:rPr>
        <w:t> </w:t>
      </w:r>
    </w:p>
    <w:p w:rsidR="00D7734D" w:rsidRPr="00D7734D" w:rsidRDefault="00D7734D" w:rsidP="00D7734D">
      <w:pPr>
        <w:pStyle w:val="xmsonormal"/>
        <w:shd w:val="clear" w:color="auto" w:fill="FFFFFF"/>
        <w:spacing w:before="0" w:beforeAutospacing="0" w:after="0" w:afterAutospacing="0"/>
        <w:rPr>
          <w:rFonts w:ascii="Calibri" w:hAnsi="Calibri" w:cs="Calibri"/>
          <w:color w:val="000000"/>
        </w:rPr>
      </w:pPr>
      <w:r w:rsidRPr="00D7734D">
        <w:rPr>
          <w:color w:val="000000"/>
          <w:bdr w:val="none" w:sz="0" w:space="0" w:color="auto" w:frame="1"/>
        </w:rPr>
        <w:t xml:space="preserve">This work highlights how native and engineered microbial pathways, integrated with compatible heterogeneous catalysis, can deliver cleaner, greener, and more flexible hydrogenation chemistry – showcasing a broader paradigm in which biological systems serve as sustainable, and potentially carbon-negative, </w:t>
      </w:r>
      <w:proofErr w:type="spellStart"/>
      <w:r w:rsidRPr="00D7734D">
        <w:rPr>
          <w:color w:val="000000"/>
          <w:bdr w:val="none" w:sz="0" w:space="0" w:color="auto" w:frame="1"/>
        </w:rPr>
        <w:t>feedstocks</w:t>
      </w:r>
      <w:proofErr w:type="spellEnd"/>
      <w:r w:rsidRPr="00D7734D">
        <w:rPr>
          <w:color w:val="000000"/>
          <w:bdr w:val="none" w:sz="0" w:space="0" w:color="auto" w:frame="1"/>
        </w:rPr>
        <w:t xml:space="preserve"> and catalytic partners for future industrial chemical synthesis.</w:t>
      </w:r>
    </w:p>
    <w:p w:rsidR="00D7734D" w:rsidRPr="001A3EC3" w:rsidRDefault="00D7734D" w:rsidP="00D7734D">
      <w:pPr>
        <w:pStyle w:val="NormalWeb"/>
        <w:rPr>
          <w:color w:val="000000"/>
        </w:rPr>
      </w:pPr>
    </w:p>
    <w:p w:rsidR="009D254F" w:rsidRDefault="009D254F" w:rsidP="0054438F">
      <w:pPr>
        <w:jc w:val="both"/>
        <w:rPr>
          <w:color w:val="000000"/>
        </w:rPr>
      </w:pPr>
    </w:p>
    <w:sectPr w:rsidR="009D254F" w:rsidSect="0054438F">
      <w:pgSz w:w="11909" w:h="16834"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E69"/>
    <w:multiLevelType w:val="hybridMultilevel"/>
    <w:tmpl w:val="90904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FE7632"/>
    <w:multiLevelType w:val="hybridMultilevel"/>
    <w:tmpl w:val="37DE88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B95C07"/>
    <w:multiLevelType w:val="hybridMultilevel"/>
    <w:tmpl w:val="6CBA99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1E009B"/>
    <w:multiLevelType w:val="hybridMultilevel"/>
    <w:tmpl w:val="AF0AC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32B24"/>
    <w:multiLevelType w:val="hybridMultilevel"/>
    <w:tmpl w:val="8A046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8FD32AE"/>
    <w:multiLevelType w:val="hybridMultilevel"/>
    <w:tmpl w:val="F140BF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844DE1"/>
    <w:multiLevelType w:val="hybridMultilevel"/>
    <w:tmpl w:val="C93C9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BFC00A9"/>
    <w:multiLevelType w:val="hybridMultilevel"/>
    <w:tmpl w:val="F1968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2AA4336"/>
    <w:multiLevelType w:val="hybridMultilevel"/>
    <w:tmpl w:val="50C62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D1772D2"/>
    <w:multiLevelType w:val="hybridMultilevel"/>
    <w:tmpl w:val="4BB61D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E280A3C"/>
    <w:multiLevelType w:val="hybridMultilevel"/>
    <w:tmpl w:val="84901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3"/>
  </w:num>
  <w:num w:numId="4">
    <w:abstractNumId w:val="6"/>
  </w:num>
  <w:num w:numId="5">
    <w:abstractNumId w:val="0"/>
  </w:num>
  <w:num w:numId="6">
    <w:abstractNumId w:val="1"/>
  </w:num>
  <w:num w:numId="7">
    <w:abstractNumId w:val="2"/>
  </w:num>
  <w:num w:numId="8">
    <w:abstractNumId w:val="4"/>
  </w:num>
  <w:num w:numId="9">
    <w:abstractNumId w:val="8"/>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compat/>
  <w:rsids>
    <w:rsidRoot w:val="0057539E"/>
    <w:rsid w:val="00071464"/>
    <w:rsid w:val="0012725A"/>
    <w:rsid w:val="001719A6"/>
    <w:rsid w:val="001A3EC3"/>
    <w:rsid w:val="00227E7C"/>
    <w:rsid w:val="002D72F4"/>
    <w:rsid w:val="00380081"/>
    <w:rsid w:val="003E7C21"/>
    <w:rsid w:val="00453A61"/>
    <w:rsid w:val="004A3688"/>
    <w:rsid w:val="0052034B"/>
    <w:rsid w:val="0054438F"/>
    <w:rsid w:val="0057539E"/>
    <w:rsid w:val="00646906"/>
    <w:rsid w:val="00687CC2"/>
    <w:rsid w:val="006E2911"/>
    <w:rsid w:val="00767317"/>
    <w:rsid w:val="007F6889"/>
    <w:rsid w:val="008440DF"/>
    <w:rsid w:val="00857999"/>
    <w:rsid w:val="0095301B"/>
    <w:rsid w:val="00995667"/>
    <w:rsid w:val="009D254F"/>
    <w:rsid w:val="00A8666D"/>
    <w:rsid w:val="00D7734D"/>
    <w:rsid w:val="00DB5C59"/>
    <w:rsid w:val="00E84CA1"/>
    <w:rsid w:val="00F966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464"/>
    <w:rPr>
      <w:sz w:val="24"/>
      <w:szCs w:val="24"/>
      <w:lang w:val="en-US" w:eastAsia="en-US"/>
    </w:rPr>
  </w:style>
  <w:style w:type="paragraph" w:styleId="Heading1">
    <w:name w:val="heading 1"/>
    <w:basedOn w:val="Normal"/>
    <w:next w:val="Normal"/>
    <w:qFormat/>
    <w:rsid w:val="00071464"/>
    <w:pPr>
      <w:keepNext/>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71464"/>
    <w:pPr>
      <w:jc w:val="center"/>
    </w:pPr>
    <w:rPr>
      <w:b/>
      <w:sz w:val="28"/>
    </w:rPr>
  </w:style>
  <w:style w:type="character" w:styleId="Hyperlink">
    <w:name w:val="Hyperlink"/>
    <w:basedOn w:val="DefaultParagraphFont"/>
    <w:rsid w:val="00071464"/>
    <w:rPr>
      <w:color w:val="0000FF"/>
      <w:u w:val="single"/>
    </w:rPr>
  </w:style>
  <w:style w:type="character" w:styleId="FollowedHyperlink">
    <w:name w:val="FollowedHyperlink"/>
    <w:basedOn w:val="DefaultParagraphFont"/>
    <w:rsid w:val="00071464"/>
    <w:rPr>
      <w:color w:val="800080"/>
      <w:u w:val="single"/>
    </w:rPr>
  </w:style>
  <w:style w:type="paragraph" w:styleId="NormalWeb">
    <w:name w:val="Normal (Web)"/>
    <w:basedOn w:val="Normal"/>
    <w:uiPriority w:val="99"/>
    <w:semiHidden/>
    <w:unhideWhenUsed/>
    <w:rsid w:val="0012725A"/>
    <w:pPr>
      <w:spacing w:before="100" w:beforeAutospacing="1" w:after="100" w:afterAutospacing="1"/>
    </w:pPr>
    <w:rPr>
      <w:lang w:val="en-GB" w:eastAsia="en-GB"/>
    </w:rPr>
  </w:style>
  <w:style w:type="character" w:customStyle="1" w:styleId="street-address">
    <w:name w:val="street-address"/>
    <w:basedOn w:val="DefaultParagraphFont"/>
    <w:rsid w:val="0012725A"/>
  </w:style>
  <w:style w:type="character" w:customStyle="1" w:styleId="locality">
    <w:name w:val="locality"/>
    <w:basedOn w:val="DefaultParagraphFont"/>
    <w:rsid w:val="0012725A"/>
  </w:style>
  <w:style w:type="character" w:customStyle="1" w:styleId="postal-code">
    <w:name w:val="postal-code"/>
    <w:basedOn w:val="DefaultParagraphFont"/>
    <w:rsid w:val="0012725A"/>
  </w:style>
  <w:style w:type="character" w:customStyle="1" w:styleId="country-name">
    <w:name w:val="country-name"/>
    <w:basedOn w:val="DefaultParagraphFont"/>
    <w:rsid w:val="0012725A"/>
  </w:style>
  <w:style w:type="paragraph" w:customStyle="1" w:styleId="xmsonormal">
    <w:name w:val="x_msonormal"/>
    <w:basedOn w:val="Normal"/>
    <w:rsid w:val="00D7734D"/>
    <w:pPr>
      <w:spacing w:before="100" w:beforeAutospacing="1" w:after="100" w:afterAutospacing="1"/>
    </w:pPr>
    <w:rPr>
      <w:lang w:val="en-GB" w:eastAsia="en-GB"/>
    </w:rPr>
  </w:style>
</w:styles>
</file>

<file path=word/webSettings.xml><?xml version="1.0" encoding="utf-8"?>
<w:webSettings xmlns:r="http://schemas.openxmlformats.org/officeDocument/2006/relationships" xmlns:w="http://schemas.openxmlformats.org/wordprocessingml/2006/main">
  <w:divs>
    <w:div w:id="409229325">
      <w:bodyDiv w:val="1"/>
      <w:marLeft w:val="0"/>
      <w:marRight w:val="0"/>
      <w:marTop w:val="0"/>
      <w:marBottom w:val="0"/>
      <w:divBdr>
        <w:top w:val="none" w:sz="0" w:space="0" w:color="auto"/>
        <w:left w:val="none" w:sz="0" w:space="0" w:color="auto"/>
        <w:bottom w:val="none" w:sz="0" w:space="0" w:color="auto"/>
        <w:right w:val="none" w:sz="0" w:space="0" w:color="auto"/>
      </w:divBdr>
    </w:div>
    <w:div w:id="975180737">
      <w:bodyDiv w:val="1"/>
      <w:marLeft w:val="0"/>
      <w:marRight w:val="0"/>
      <w:marTop w:val="0"/>
      <w:marBottom w:val="0"/>
      <w:divBdr>
        <w:top w:val="none" w:sz="0" w:space="0" w:color="auto"/>
        <w:left w:val="none" w:sz="0" w:space="0" w:color="auto"/>
        <w:bottom w:val="none" w:sz="0" w:space="0" w:color="auto"/>
        <w:right w:val="none" w:sz="0" w:space="0" w:color="auto"/>
      </w:divBdr>
    </w:div>
    <w:div w:id="1277566967">
      <w:bodyDiv w:val="1"/>
      <w:marLeft w:val="0"/>
      <w:marRight w:val="0"/>
      <w:marTop w:val="0"/>
      <w:marBottom w:val="0"/>
      <w:divBdr>
        <w:top w:val="none" w:sz="0" w:space="0" w:color="auto"/>
        <w:left w:val="none" w:sz="0" w:space="0" w:color="auto"/>
        <w:bottom w:val="none" w:sz="0" w:space="0" w:color="auto"/>
        <w:right w:val="none" w:sz="0" w:space="0" w:color="auto"/>
      </w:divBdr>
    </w:div>
    <w:div w:id="1846894875">
      <w:bodyDiv w:val="1"/>
      <w:marLeft w:val="0"/>
      <w:marRight w:val="0"/>
      <w:marTop w:val="0"/>
      <w:marBottom w:val="0"/>
      <w:divBdr>
        <w:top w:val="none" w:sz="0" w:space="0" w:color="auto"/>
        <w:left w:val="none" w:sz="0" w:space="0" w:color="auto"/>
        <w:bottom w:val="none" w:sz="0" w:space="0" w:color="auto"/>
        <w:right w:val="none" w:sz="0" w:space="0" w:color="auto"/>
      </w:divBdr>
    </w:div>
    <w:div w:id="186509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Abstract Template</vt:lpstr>
    </vt:vector>
  </TitlesOfParts>
  <Company>Copernicus Gesellschaft e.V.</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creator>Sergey Malugin</dc:creator>
  <dc:description>(c) Copernicus Gesellschaft e.V. 2004</dc:description>
  <cp:lastModifiedBy>Andy</cp:lastModifiedBy>
  <cp:revision>2</cp:revision>
  <dcterms:created xsi:type="dcterms:W3CDTF">2026-07-16T10:36:00Z</dcterms:created>
  <dcterms:modified xsi:type="dcterms:W3CDTF">2026-07-16T10:36:00Z</dcterms:modified>
</cp:coreProperties>
</file>